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866" w:rsidRDefault="00BF3866" w:rsidP="00BF3866">
      <w:pPr>
        <w:spacing w:line="276" w:lineRule="auto"/>
        <w:jc w:val="center"/>
        <w:rPr>
          <w:b/>
          <w:sz w:val="18"/>
          <w:szCs w:val="18"/>
        </w:rPr>
      </w:pPr>
      <w:r w:rsidRPr="00046805">
        <w:rPr>
          <w:rFonts w:hint="eastAsia"/>
          <w:b/>
          <w:sz w:val="32"/>
          <w:szCs w:val="32"/>
        </w:rPr>
        <w:t>深圳市罗湖</w:t>
      </w:r>
      <w:r>
        <w:rPr>
          <w:rFonts w:hint="eastAsia"/>
          <w:b/>
          <w:sz w:val="32"/>
          <w:szCs w:val="32"/>
        </w:rPr>
        <w:t>集团六大中心</w:t>
      </w:r>
      <w:r w:rsidRPr="00046805">
        <w:rPr>
          <w:rFonts w:hint="eastAsia"/>
          <w:b/>
          <w:sz w:val="32"/>
          <w:szCs w:val="32"/>
        </w:rPr>
        <w:t>医疗设备技术参数</w:t>
      </w:r>
    </w:p>
    <w:p w:rsidR="00BF3866" w:rsidRPr="006F05A9" w:rsidRDefault="00BF3866" w:rsidP="00BF3866">
      <w:pPr>
        <w:spacing w:line="276" w:lineRule="auto"/>
        <w:jc w:val="right"/>
        <w:rPr>
          <w:b/>
          <w:sz w:val="18"/>
          <w:szCs w:val="18"/>
        </w:rPr>
      </w:pPr>
      <w:r>
        <w:rPr>
          <w:rFonts w:hint="eastAsia"/>
          <w:b/>
          <w:sz w:val="18"/>
          <w:szCs w:val="18"/>
        </w:rPr>
        <w:t>单位：万元</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3"/>
        <w:gridCol w:w="1279"/>
        <w:gridCol w:w="535"/>
        <w:gridCol w:w="641"/>
        <w:gridCol w:w="694"/>
        <w:gridCol w:w="842"/>
        <w:gridCol w:w="535"/>
        <w:gridCol w:w="449"/>
        <w:gridCol w:w="694"/>
        <w:gridCol w:w="694"/>
        <w:gridCol w:w="694"/>
        <w:gridCol w:w="792"/>
      </w:tblGrid>
      <w:tr w:rsidR="00BF3866" w:rsidRPr="009E31BA" w:rsidTr="00DD7191">
        <w:tc>
          <w:tcPr>
            <w:tcW w:w="673" w:type="dxa"/>
            <w:vAlign w:val="center"/>
          </w:tcPr>
          <w:p w:rsidR="00BF3866" w:rsidRPr="009E31BA" w:rsidRDefault="00BF3866" w:rsidP="00DD7191">
            <w:pPr>
              <w:spacing w:line="276" w:lineRule="auto"/>
              <w:jc w:val="center"/>
              <w:rPr>
                <w:b/>
                <w:sz w:val="24"/>
              </w:rPr>
            </w:pPr>
            <w:r w:rsidRPr="009E31BA">
              <w:rPr>
                <w:rFonts w:hint="eastAsia"/>
                <w:b/>
                <w:sz w:val="24"/>
              </w:rPr>
              <w:t>设备名称</w:t>
            </w:r>
          </w:p>
        </w:tc>
        <w:tc>
          <w:tcPr>
            <w:tcW w:w="1279" w:type="dxa"/>
            <w:vAlign w:val="center"/>
          </w:tcPr>
          <w:p w:rsidR="00BF3866" w:rsidRPr="009E31BA" w:rsidRDefault="00BF3866" w:rsidP="00DD7191">
            <w:pPr>
              <w:spacing w:line="276" w:lineRule="auto"/>
              <w:jc w:val="center"/>
              <w:rPr>
                <w:b/>
                <w:sz w:val="24"/>
              </w:rPr>
            </w:pPr>
            <w:r w:rsidRPr="00023D71">
              <w:rPr>
                <w:rFonts w:hint="eastAsia"/>
                <w:b/>
                <w:sz w:val="24"/>
              </w:rPr>
              <w:t>疼痛治疗／外周局麻技能训练模型</w:t>
            </w:r>
          </w:p>
        </w:tc>
        <w:tc>
          <w:tcPr>
            <w:tcW w:w="535" w:type="dxa"/>
            <w:vAlign w:val="center"/>
          </w:tcPr>
          <w:p w:rsidR="00BF3866" w:rsidRPr="009E31BA" w:rsidRDefault="00BF3866" w:rsidP="00DD7191">
            <w:pPr>
              <w:spacing w:line="276" w:lineRule="auto"/>
              <w:jc w:val="center"/>
              <w:rPr>
                <w:b/>
                <w:sz w:val="24"/>
              </w:rPr>
            </w:pPr>
            <w:r w:rsidRPr="009E31BA">
              <w:rPr>
                <w:rFonts w:hint="eastAsia"/>
                <w:b/>
                <w:sz w:val="24"/>
              </w:rPr>
              <w:t>国别</w:t>
            </w:r>
          </w:p>
        </w:tc>
        <w:tc>
          <w:tcPr>
            <w:tcW w:w="641" w:type="dxa"/>
            <w:vAlign w:val="center"/>
          </w:tcPr>
          <w:p w:rsidR="00BF3866" w:rsidRPr="009E31BA" w:rsidRDefault="00BF3866" w:rsidP="00DD7191">
            <w:pPr>
              <w:spacing w:line="276" w:lineRule="auto"/>
              <w:jc w:val="center"/>
              <w:rPr>
                <w:b/>
                <w:sz w:val="24"/>
              </w:rPr>
            </w:pPr>
            <w:r>
              <w:rPr>
                <w:rFonts w:hint="eastAsia"/>
                <w:b/>
                <w:sz w:val="24"/>
              </w:rPr>
              <w:t>进口</w:t>
            </w:r>
          </w:p>
        </w:tc>
        <w:tc>
          <w:tcPr>
            <w:tcW w:w="694" w:type="dxa"/>
            <w:vAlign w:val="center"/>
          </w:tcPr>
          <w:p w:rsidR="00BF3866" w:rsidRPr="009E31BA" w:rsidRDefault="00BF3866" w:rsidP="00DD7191">
            <w:pPr>
              <w:spacing w:line="276" w:lineRule="auto"/>
              <w:jc w:val="center"/>
              <w:rPr>
                <w:b/>
                <w:sz w:val="24"/>
              </w:rPr>
            </w:pPr>
            <w:r w:rsidRPr="009E31BA">
              <w:rPr>
                <w:rFonts w:hint="eastAsia"/>
                <w:b/>
                <w:sz w:val="24"/>
              </w:rPr>
              <w:t>申报科室</w:t>
            </w:r>
          </w:p>
        </w:tc>
        <w:tc>
          <w:tcPr>
            <w:tcW w:w="842" w:type="dxa"/>
            <w:vAlign w:val="center"/>
          </w:tcPr>
          <w:p w:rsidR="00BF3866" w:rsidRPr="009E31BA" w:rsidRDefault="00BF3866" w:rsidP="00DD7191">
            <w:pPr>
              <w:spacing w:line="276" w:lineRule="auto"/>
              <w:ind w:left="57"/>
              <w:jc w:val="center"/>
              <w:rPr>
                <w:b/>
                <w:sz w:val="24"/>
              </w:rPr>
            </w:pPr>
            <w:r w:rsidRPr="00642922">
              <w:rPr>
                <w:rFonts w:hint="eastAsia"/>
                <w:b/>
                <w:sz w:val="24"/>
              </w:rPr>
              <w:t>临床培训中心</w:t>
            </w:r>
          </w:p>
        </w:tc>
        <w:tc>
          <w:tcPr>
            <w:tcW w:w="535" w:type="dxa"/>
            <w:vAlign w:val="center"/>
          </w:tcPr>
          <w:p w:rsidR="00BF3866" w:rsidRPr="009E31BA" w:rsidRDefault="00BF3866" w:rsidP="00DD7191">
            <w:pPr>
              <w:spacing w:line="276" w:lineRule="auto"/>
              <w:jc w:val="center"/>
              <w:rPr>
                <w:b/>
                <w:sz w:val="24"/>
              </w:rPr>
            </w:pPr>
            <w:r w:rsidRPr="009E31BA">
              <w:rPr>
                <w:rFonts w:hint="eastAsia"/>
                <w:b/>
                <w:sz w:val="24"/>
              </w:rPr>
              <w:t>数量</w:t>
            </w:r>
          </w:p>
        </w:tc>
        <w:tc>
          <w:tcPr>
            <w:tcW w:w="449" w:type="dxa"/>
            <w:vAlign w:val="center"/>
          </w:tcPr>
          <w:p w:rsidR="00BF3866" w:rsidRPr="009E31BA" w:rsidRDefault="00BF3866" w:rsidP="00DD7191">
            <w:pPr>
              <w:spacing w:line="276" w:lineRule="auto"/>
              <w:jc w:val="center"/>
              <w:rPr>
                <w:b/>
                <w:sz w:val="24"/>
              </w:rPr>
            </w:pPr>
            <w:r>
              <w:rPr>
                <w:rFonts w:hint="eastAsia"/>
                <w:b/>
                <w:sz w:val="24"/>
              </w:rPr>
              <w:t>1</w:t>
            </w:r>
          </w:p>
        </w:tc>
        <w:tc>
          <w:tcPr>
            <w:tcW w:w="694" w:type="dxa"/>
            <w:vAlign w:val="center"/>
          </w:tcPr>
          <w:p w:rsidR="00BF3866" w:rsidRPr="009E31BA" w:rsidRDefault="00BF3866" w:rsidP="00DD7191">
            <w:pPr>
              <w:spacing w:line="276" w:lineRule="auto"/>
              <w:jc w:val="center"/>
              <w:rPr>
                <w:b/>
                <w:sz w:val="24"/>
              </w:rPr>
            </w:pPr>
            <w:r w:rsidRPr="009E31BA">
              <w:rPr>
                <w:rFonts w:hint="eastAsia"/>
                <w:b/>
                <w:sz w:val="24"/>
              </w:rPr>
              <w:t>参考报价</w:t>
            </w:r>
          </w:p>
        </w:tc>
        <w:tc>
          <w:tcPr>
            <w:tcW w:w="694" w:type="dxa"/>
            <w:vAlign w:val="center"/>
          </w:tcPr>
          <w:p w:rsidR="00BF3866" w:rsidRPr="00BB663A" w:rsidRDefault="00BB663A" w:rsidP="00DD7191">
            <w:pPr>
              <w:spacing w:line="276" w:lineRule="auto"/>
              <w:jc w:val="center"/>
              <w:rPr>
                <w:b/>
                <w:color w:val="FF0000"/>
                <w:sz w:val="24"/>
              </w:rPr>
            </w:pPr>
            <w:r w:rsidRPr="00BB663A">
              <w:rPr>
                <w:rFonts w:hint="eastAsia"/>
                <w:b/>
                <w:color w:val="FF0000"/>
                <w:sz w:val="24"/>
              </w:rPr>
              <w:t>22</w:t>
            </w:r>
          </w:p>
        </w:tc>
        <w:tc>
          <w:tcPr>
            <w:tcW w:w="694" w:type="dxa"/>
            <w:vAlign w:val="center"/>
          </w:tcPr>
          <w:p w:rsidR="00BF3866" w:rsidRPr="009E31BA" w:rsidRDefault="00BF3866" w:rsidP="00DD7191">
            <w:pPr>
              <w:spacing w:line="276" w:lineRule="auto"/>
              <w:jc w:val="center"/>
              <w:rPr>
                <w:b/>
                <w:sz w:val="24"/>
              </w:rPr>
            </w:pPr>
            <w:r w:rsidRPr="009E31BA">
              <w:rPr>
                <w:rFonts w:hint="eastAsia"/>
                <w:b/>
                <w:sz w:val="24"/>
              </w:rPr>
              <w:t>合计金额</w:t>
            </w:r>
          </w:p>
        </w:tc>
        <w:tc>
          <w:tcPr>
            <w:tcW w:w="792" w:type="dxa"/>
            <w:vAlign w:val="center"/>
          </w:tcPr>
          <w:p w:rsidR="00BF3866" w:rsidRPr="00BB663A" w:rsidRDefault="00BB663A" w:rsidP="00DD7191">
            <w:pPr>
              <w:spacing w:line="276" w:lineRule="auto"/>
              <w:jc w:val="center"/>
              <w:rPr>
                <w:b/>
                <w:color w:val="FF0000"/>
                <w:sz w:val="24"/>
              </w:rPr>
            </w:pPr>
            <w:r w:rsidRPr="00BB663A">
              <w:rPr>
                <w:rFonts w:hint="eastAsia"/>
                <w:b/>
                <w:color w:val="FF0000"/>
                <w:sz w:val="24"/>
              </w:rPr>
              <w:t>22</w:t>
            </w:r>
          </w:p>
        </w:tc>
      </w:tr>
      <w:tr w:rsidR="00BF3866" w:rsidRPr="009E31BA" w:rsidTr="00DD7191">
        <w:tc>
          <w:tcPr>
            <w:tcW w:w="8522" w:type="dxa"/>
            <w:gridSpan w:val="12"/>
            <w:vAlign w:val="center"/>
          </w:tcPr>
          <w:p w:rsidR="00BF3866" w:rsidRPr="009E31BA" w:rsidRDefault="00BF3866" w:rsidP="00DD7191">
            <w:pPr>
              <w:spacing w:line="276" w:lineRule="auto"/>
              <w:jc w:val="center"/>
              <w:rPr>
                <w:b/>
                <w:sz w:val="24"/>
              </w:rPr>
            </w:pPr>
            <w:r w:rsidRPr="009E31BA">
              <w:rPr>
                <w:rFonts w:hint="eastAsia"/>
                <w:b/>
                <w:sz w:val="24"/>
              </w:rPr>
              <w:t>技术参数</w:t>
            </w:r>
          </w:p>
        </w:tc>
      </w:tr>
      <w:tr w:rsidR="00BF3866" w:rsidRPr="009E31BA" w:rsidTr="00BF3866">
        <w:trPr>
          <w:trHeight w:val="9886"/>
        </w:trPr>
        <w:tc>
          <w:tcPr>
            <w:tcW w:w="8522" w:type="dxa"/>
            <w:gridSpan w:val="12"/>
          </w:tcPr>
          <w:p w:rsidR="00BF3866" w:rsidRPr="003007B3" w:rsidRDefault="00BF3866" w:rsidP="00DD7191">
            <w:pPr>
              <w:widowControl/>
              <w:rPr>
                <w:rFonts w:ascii="宋体" w:hAnsi="宋体"/>
                <w:kern w:val="0"/>
                <w:szCs w:val="21"/>
              </w:rPr>
            </w:pPr>
            <w:r w:rsidRPr="003007B3">
              <w:rPr>
                <w:rFonts w:ascii="宋体" w:hAnsi="宋体" w:hint="eastAsia"/>
                <w:kern w:val="0"/>
                <w:szCs w:val="21"/>
              </w:rPr>
              <w:t>1.国际知名品牌产品,由一个专业涂层的仿真人体骨骼，头部覆盖有仿真的皮肤，躯干上覆盖织物，学员可以练习在X射线图像增强器的引导下的针穿刺位置，用于训练麻醉师在疼痛管理过程中神经阻滞穿刺正确的进针位置。</w:t>
            </w:r>
          </w:p>
          <w:p w:rsidR="00BF3866" w:rsidRPr="003007B3" w:rsidRDefault="00BF3866" w:rsidP="00DD7191">
            <w:pPr>
              <w:widowControl/>
              <w:rPr>
                <w:rFonts w:ascii="宋体" w:hAnsi="宋体"/>
                <w:kern w:val="0"/>
                <w:szCs w:val="21"/>
              </w:rPr>
            </w:pPr>
            <w:r w:rsidRPr="003007B3">
              <w:rPr>
                <w:rFonts w:ascii="宋体" w:hAnsi="宋体" w:hint="eastAsia"/>
                <w:kern w:val="0"/>
                <w:szCs w:val="21"/>
              </w:rPr>
              <w:t>2.逼真的解剖结构，适用于个性化的神经阻滞。</w:t>
            </w:r>
          </w:p>
          <w:p w:rsidR="00BF3866" w:rsidRPr="003007B3" w:rsidRDefault="00BF3866" w:rsidP="00DD7191">
            <w:pPr>
              <w:widowControl/>
              <w:rPr>
                <w:rFonts w:ascii="宋体" w:hAnsi="宋体"/>
                <w:kern w:val="0"/>
                <w:szCs w:val="21"/>
              </w:rPr>
            </w:pPr>
            <w:r w:rsidRPr="003007B3">
              <w:rPr>
                <w:rFonts w:ascii="宋体" w:hAnsi="宋体" w:hint="eastAsia"/>
                <w:kern w:val="0"/>
                <w:szCs w:val="21"/>
              </w:rPr>
              <w:t>3.专业的材料制作，可通过影像拍片可进行相应的影像学标志识别定位。</w:t>
            </w:r>
          </w:p>
          <w:p w:rsidR="00BF3866" w:rsidRPr="003007B3" w:rsidRDefault="00BF3866" w:rsidP="00DD7191">
            <w:pPr>
              <w:widowControl/>
              <w:rPr>
                <w:rFonts w:ascii="宋体" w:hAnsi="宋体"/>
                <w:kern w:val="0"/>
                <w:szCs w:val="21"/>
              </w:rPr>
            </w:pPr>
            <w:r w:rsidRPr="003007B3">
              <w:rPr>
                <w:rFonts w:ascii="宋体" w:hAnsi="宋体" w:hint="eastAsia"/>
                <w:kern w:val="0"/>
                <w:szCs w:val="21"/>
              </w:rPr>
              <w:t>4.可识别进针点的角度和方向，可识别与深部骨性结构的连接，抽出和引导针改变角度。</w:t>
            </w:r>
          </w:p>
          <w:p w:rsidR="00BF3866" w:rsidRPr="003007B3" w:rsidRDefault="00BF3866" w:rsidP="00DD7191">
            <w:pPr>
              <w:widowControl/>
              <w:rPr>
                <w:rFonts w:ascii="宋体" w:hAnsi="宋体"/>
                <w:kern w:val="0"/>
                <w:szCs w:val="21"/>
              </w:rPr>
            </w:pPr>
            <w:r w:rsidRPr="003007B3">
              <w:rPr>
                <w:rFonts w:ascii="宋体" w:hAnsi="宋体" w:hint="eastAsia"/>
                <w:kern w:val="0"/>
                <w:szCs w:val="21"/>
              </w:rPr>
              <w:t>5.可通过影像学表现来反映操作结果的正确与否。</w:t>
            </w:r>
          </w:p>
          <w:p w:rsidR="00BF3866" w:rsidRPr="003007B3" w:rsidRDefault="00BF3866" w:rsidP="00DD7191">
            <w:pPr>
              <w:widowControl/>
              <w:rPr>
                <w:rFonts w:ascii="宋体" w:hAnsi="宋体"/>
                <w:kern w:val="0"/>
                <w:szCs w:val="21"/>
              </w:rPr>
            </w:pPr>
            <w:r w:rsidRPr="003007B3">
              <w:rPr>
                <w:rFonts w:ascii="宋体" w:hAnsi="宋体" w:hint="eastAsia"/>
                <w:kern w:val="0"/>
                <w:szCs w:val="21"/>
              </w:rPr>
              <w:t>6.精确的针放置是保证多种诊断疼痛的临床疗效及在强制性解决方案中应用。通过影像学定位来确定针的位置，是影像学筛查需要常规培训的实践。</w:t>
            </w:r>
          </w:p>
          <w:p w:rsidR="00BF3866" w:rsidRPr="003007B3" w:rsidRDefault="00BF3866" w:rsidP="00DD7191">
            <w:pPr>
              <w:widowControl/>
              <w:rPr>
                <w:rFonts w:ascii="宋体" w:hAnsi="宋体"/>
                <w:kern w:val="0"/>
                <w:szCs w:val="21"/>
              </w:rPr>
            </w:pPr>
            <w:r w:rsidRPr="003007B3">
              <w:rPr>
                <w:rFonts w:ascii="宋体" w:hAnsi="宋体" w:hint="eastAsia"/>
                <w:kern w:val="0"/>
                <w:szCs w:val="21"/>
              </w:rPr>
              <w:t>7.通过疼痛治疗穿刺仿真模型的训练，可以减轻病人不适和减少诊治时间。</w:t>
            </w:r>
          </w:p>
          <w:p w:rsidR="00BF3866" w:rsidRPr="003007B3" w:rsidRDefault="00BF3866" w:rsidP="00DD7191">
            <w:pPr>
              <w:widowControl/>
              <w:rPr>
                <w:rFonts w:ascii="宋体" w:hAnsi="宋体"/>
                <w:kern w:val="0"/>
                <w:szCs w:val="21"/>
              </w:rPr>
            </w:pPr>
            <w:r w:rsidRPr="003007B3">
              <w:rPr>
                <w:rFonts w:ascii="宋体" w:hAnsi="宋体" w:hint="eastAsia"/>
                <w:kern w:val="0"/>
                <w:szCs w:val="21"/>
              </w:rPr>
              <w:t>8.模型可用于教以下的神经阻滞：</w:t>
            </w:r>
          </w:p>
          <w:p w:rsidR="00BF3866" w:rsidRPr="003007B3" w:rsidRDefault="00BF3866" w:rsidP="00DD7191">
            <w:pPr>
              <w:widowControl/>
              <w:rPr>
                <w:rFonts w:ascii="宋体" w:hAnsi="宋体"/>
                <w:kern w:val="0"/>
                <w:szCs w:val="21"/>
              </w:rPr>
            </w:pPr>
            <w:r w:rsidRPr="003007B3">
              <w:rPr>
                <w:rFonts w:ascii="宋体" w:hAnsi="宋体" w:hint="eastAsia"/>
                <w:kern w:val="0"/>
                <w:szCs w:val="21"/>
              </w:rPr>
              <w:t>8.1三叉神经节阻滞或射频针的定位：颈椎小关节注射。</w:t>
            </w:r>
          </w:p>
          <w:p w:rsidR="00BF3866" w:rsidRPr="003007B3" w:rsidRDefault="00BF3866" w:rsidP="00DD7191">
            <w:pPr>
              <w:widowControl/>
              <w:rPr>
                <w:rFonts w:ascii="宋体" w:hAnsi="宋体"/>
                <w:kern w:val="0"/>
                <w:szCs w:val="21"/>
              </w:rPr>
            </w:pPr>
            <w:r w:rsidRPr="003007B3">
              <w:rPr>
                <w:rFonts w:ascii="宋体" w:hAnsi="宋体" w:hint="eastAsia"/>
                <w:kern w:val="0"/>
                <w:szCs w:val="21"/>
              </w:rPr>
              <w:t>8.2在脊髓水平的硬膜外注射。</w:t>
            </w:r>
          </w:p>
          <w:p w:rsidR="00BF3866" w:rsidRPr="003007B3" w:rsidRDefault="00BF3866" w:rsidP="00DD7191">
            <w:pPr>
              <w:widowControl/>
              <w:rPr>
                <w:rFonts w:ascii="宋体" w:hAnsi="宋体"/>
                <w:kern w:val="0"/>
                <w:szCs w:val="21"/>
              </w:rPr>
            </w:pPr>
            <w:r w:rsidRPr="003007B3">
              <w:rPr>
                <w:rFonts w:ascii="宋体" w:hAnsi="宋体" w:hint="eastAsia"/>
                <w:kern w:val="0"/>
                <w:szCs w:val="21"/>
              </w:rPr>
              <w:t>8.3腰交感神经阻滞，内脏，腹腔和上腹下神经阻滞。</w:t>
            </w:r>
          </w:p>
          <w:p w:rsidR="00BF3866" w:rsidRPr="003007B3" w:rsidRDefault="00BF3866" w:rsidP="00DD7191">
            <w:pPr>
              <w:widowControl/>
              <w:rPr>
                <w:rFonts w:ascii="宋体" w:hAnsi="宋体"/>
                <w:kern w:val="0"/>
                <w:szCs w:val="21"/>
              </w:rPr>
            </w:pPr>
            <w:r w:rsidRPr="003007B3">
              <w:rPr>
                <w:rFonts w:ascii="宋体" w:hAnsi="宋体" w:hint="eastAsia"/>
                <w:kern w:val="0"/>
                <w:szCs w:val="21"/>
              </w:rPr>
              <w:t>8.4腰椎小关节注射和后主支射频去神经支配。</w:t>
            </w:r>
          </w:p>
          <w:p w:rsidR="00BF3866" w:rsidRDefault="00BF3866" w:rsidP="00DD7191">
            <w:pPr>
              <w:widowControl/>
              <w:rPr>
                <w:rFonts w:ascii="宋体" w:hAnsi="宋体"/>
                <w:kern w:val="0"/>
                <w:szCs w:val="21"/>
              </w:rPr>
            </w:pPr>
            <w:r w:rsidRPr="003007B3">
              <w:rPr>
                <w:rFonts w:ascii="宋体" w:hAnsi="宋体" w:hint="eastAsia"/>
                <w:kern w:val="0"/>
                <w:szCs w:val="21"/>
              </w:rPr>
              <w:t>8.5骶髂关节注射</w:t>
            </w:r>
          </w:p>
          <w:p w:rsidR="00780510" w:rsidRDefault="00780510" w:rsidP="00780510">
            <w:pPr>
              <w:rPr>
                <w:rFonts w:ascii="宋体" w:hAnsi="宋体" w:hint="eastAsia"/>
                <w:szCs w:val="21"/>
              </w:rPr>
            </w:pPr>
            <w:r>
              <w:rPr>
                <w:rFonts w:ascii="宋体" w:hAnsi="宋体" w:hint="eastAsia"/>
                <w:szCs w:val="21"/>
              </w:rPr>
              <w:t>注：本项目不须医疗器械注册证</w:t>
            </w:r>
          </w:p>
          <w:p w:rsidR="00366231" w:rsidRPr="00780510" w:rsidRDefault="00366231" w:rsidP="00DD7191">
            <w:pPr>
              <w:widowControl/>
              <w:rPr>
                <w:rFonts w:ascii="宋体" w:hAnsi="宋体"/>
                <w:kern w:val="0"/>
                <w:szCs w:val="21"/>
              </w:rPr>
            </w:pPr>
          </w:p>
          <w:p w:rsidR="00366231" w:rsidRDefault="00366231" w:rsidP="00366231">
            <w:pPr>
              <w:widowControl/>
              <w:rPr>
                <w:rFonts w:ascii="宋体" w:hAnsi="宋体"/>
                <w:kern w:val="0"/>
                <w:szCs w:val="21"/>
              </w:rPr>
            </w:pPr>
            <w:r>
              <w:rPr>
                <w:rFonts w:ascii="宋体" w:hAnsi="宋体" w:hint="eastAsia"/>
                <w:kern w:val="0"/>
                <w:szCs w:val="21"/>
              </w:rPr>
              <w:t>售后条件要求如下：</w:t>
            </w:r>
          </w:p>
          <w:p w:rsidR="00366231" w:rsidRDefault="00366231" w:rsidP="00366231">
            <w:pPr>
              <w:widowControl/>
              <w:rPr>
                <w:rFonts w:ascii="宋体" w:hAnsi="宋体"/>
                <w:kern w:val="0"/>
                <w:szCs w:val="21"/>
              </w:rPr>
            </w:pPr>
            <w:r>
              <w:rPr>
                <w:rFonts w:ascii="宋体" w:hAnsi="宋体" w:hint="eastAsia"/>
                <w:kern w:val="0"/>
                <w:szCs w:val="21"/>
              </w:rPr>
              <w:t>1、质保期：自货物验收合格之日起至少2年。</w:t>
            </w:r>
          </w:p>
          <w:p w:rsidR="00366231" w:rsidRDefault="00366231" w:rsidP="00366231">
            <w:pPr>
              <w:widowControl/>
              <w:rPr>
                <w:rFonts w:ascii="宋体" w:hAnsi="宋体"/>
                <w:kern w:val="0"/>
                <w:szCs w:val="21"/>
              </w:rPr>
            </w:pPr>
            <w:r>
              <w:rPr>
                <w:rFonts w:ascii="宋体" w:hAnsi="宋体" w:hint="eastAsia"/>
                <w:kern w:val="0"/>
                <w:szCs w:val="21"/>
              </w:rPr>
              <w:t>2、安装调试和培训：供应商负责将货物送至医院指定地点，到货后，厂家需在接到用户通知后10个工作日内进行安装调试；提供用户管理人员的现场操作使用及基本维护的免费培训（时间不少于5个工作日），使受训人员了解货物的工作原理、操作规程、以及维护、保养方法。</w:t>
            </w:r>
          </w:p>
          <w:p w:rsidR="00366231" w:rsidRDefault="00366231" w:rsidP="00366231">
            <w:pPr>
              <w:widowControl/>
              <w:rPr>
                <w:rFonts w:ascii="宋体" w:hAnsi="宋体"/>
                <w:kern w:val="0"/>
                <w:szCs w:val="21"/>
              </w:rPr>
            </w:pPr>
            <w:r>
              <w:rPr>
                <w:rFonts w:ascii="宋体" w:hAnsi="宋体" w:hint="eastAsia"/>
                <w:kern w:val="0"/>
                <w:szCs w:val="21"/>
              </w:rPr>
              <w:t>3、验收：按供货方合格证书技术资料中的精度、质量要求和双方签订的合同技术附件所规定的条款进行验收。</w:t>
            </w:r>
          </w:p>
          <w:p w:rsidR="00BF3866" w:rsidRDefault="00BF3866" w:rsidP="00DD7191">
            <w:pPr>
              <w:spacing w:line="276" w:lineRule="auto"/>
              <w:rPr>
                <w:rFonts w:ascii="宋体" w:hAnsi="宋体"/>
                <w:b/>
                <w:sz w:val="24"/>
              </w:rPr>
            </w:pPr>
          </w:p>
          <w:p w:rsidR="0019647C" w:rsidRPr="00780510" w:rsidRDefault="0019647C" w:rsidP="00DD7191">
            <w:pPr>
              <w:spacing w:line="276" w:lineRule="auto"/>
              <w:rPr>
                <w:rFonts w:ascii="宋体" w:hAnsi="宋体"/>
                <w:b/>
                <w:sz w:val="24"/>
              </w:rPr>
            </w:pPr>
          </w:p>
          <w:p w:rsidR="00866164" w:rsidRPr="000A161E" w:rsidRDefault="00866164" w:rsidP="00DD7191">
            <w:pPr>
              <w:spacing w:line="276" w:lineRule="auto"/>
              <w:rPr>
                <w:rFonts w:ascii="宋体" w:hAnsi="宋体"/>
                <w:b/>
                <w:sz w:val="24"/>
              </w:rPr>
            </w:pPr>
          </w:p>
        </w:tc>
      </w:tr>
    </w:tbl>
    <w:p w:rsidR="00217CBC" w:rsidRDefault="00217CBC"/>
    <w:sectPr w:rsidR="00217CBC" w:rsidSect="006551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94E" w:rsidRDefault="0022294E" w:rsidP="00BF3866">
      <w:r>
        <w:separator/>
      </w:r>
    </w:p>
  </w:endnote>
  <w:endnote w:type="continuationSeparator" w:id="1">
    <w:p w:rsidR="0022294E" w:rsidRDefault="0022294E" w:rsidP="00BF38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94E" w:rsidRDefault="0022294E" w:rsidP="00BF3866">
      <w:r>
        <w:separator/>
      </w:r>
    </w:p>
  </w:footnote>
  <w:footnote w:type="continuationSeparator" w:id="1">
    <w:p w:rsidR="0022294E" w:rsidRDefault="0022294E" w:rsidP="00BF38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6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6AE6"/>
    <w:rsid w:val="00003329"/>
    <w:rsid w:val="00131A7B"/>
    <w:rsid w:val="0019647C"/>
    <w:rsid w:val="001C7E60"/>
    <w:rsid w:val="00217CBC"/>
    <w:rsid w:val="0022294E"/>
    <w:rsid w:val="002C0A1A"/>
    <w:rsid w:val="00366231"/>
    <w:rsid w:val="0043523A"/>
    <w:rsid w:val="004B62C0"/>
    <w:rsid w:val="00514409"/>
    <w:rsid w:val="006551E2"/>
    <w:rsid w:val="00780510"/>
    <w:rsid w:val="00866164"/>
    <w:rsid w:val="009758BC"/>
    <w:rsid w:val="009F52ED"/>
    <w:rsid w:val="00A77F40"/>
    <w:rsid w:val="00AA6AE6"/>
    <w:rsid w:val="00BB663A"/>
    <w:rsid w:val="00BD1795"/>
    <w:rsid w:val="00BF38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86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38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F3866"/>
    <w:rPr>
      <w:sz w:val="18"/>
      <w:szCs w:val="18"/>
    </w:rPr>
  </w:style>
  <w:style w:type="paragraph" w:styleId="a4">
    <w:name w:val="footer"/>
    <w:basedOn w:val="a"/>
    <w:link w:val="Char0"/>
    <w:uiPriority w:val="99"/>
    <w:unhideWhenUsed/>
    <w:rsid w:val="00BF38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F386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86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38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F3866"/>
    <w:rPr>
      <w:sz w:val="18"/>
      <w:szCs w:val="18"/>
    </w:rPr>
  </w:style>
  <w:style w:type="paragraph" w:styleId="a4">
    <w:name w:val="footer"/>
    <w:basedOn w:val="a"/>
    <w:link w:val="Char0"/>
    <w:uiPriority w:val="99"/>
    <w:unhideWhenUsed/>
    <w:rsid w:val="00BF38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F3866"/>
    <w:rPr>
      <w:sz w:val="18"/>
      <w:szCs w:val="18"/>
    </w:rPr>
  </w:style>
</w:styles>
</file>

<file path=word/webSettings.xml><?xml version="1.0" encoding="utf-8"?>
<w:webSettings xmlns:r="http://schemas.openxmlformats.org/officeDocument/2006/relationships" xmlns:w="http://schemas.openxmlformats.org/wordprocessingml/2006/main">
  <w:divs>
    <w:div w:id="708188787">
      <w:bodyDiv w:val="1"/>
      <w:marLeft w:val="0"/>
      <w:marRight w:val="0"/>
      <w:marTop w:val="0"/>
      <w:marBottom w:val="0"/>
      <w:divBdr>
        <w:top w:val="none" w:sz="0" w:space="0" w:color="auto"/>
        <w:left w:val="none" w:sz="0" w:space="0" w:color="auto"/>
        <w:bottom w:val="none" w:sz="0" w:space="0" w:color="auto"/>
        <w:right w:val="none" w:sz="0" w:space="0" w:color="auto"/>
      </w:divBdr>
    </w:div>
    <w:div w:id="162326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651</Characters>
  <Application>Microsoft Office Word</Application>
  <DocSecurity>0</DocSecurity>
  <Lines>5</Lines>
  <Paragraphs>1</Paragraphs>
  <ScaleCrop>false</ScaleCrop>
  <Company>Sky123.Org</Company>
  <LinksUpToDate>false</LinksUpToDate>
  <CharactersWithSpaces>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13</cp:revision>
  <dcterms:created xsi:type="dcterms:W3CDTF">2016-01-27T14:10:00Z</dcterms:created>
  <dcterms:modified xsi:type="dcterms:W3CDTF">2016-11-09T08:29:00Z</dcterms:modified>
</cp:coreProperties>
</file>